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787" w:rsidRDefault="00110787" w:rsidP="00110787">
      <w:pPr>
        <w:ind w:right="-720"/>
        <w:contextualSpacing/>
        <w:rPr>
          <w:rFonts w:ascii="Lucida Calligraphy" w:hAnsi="Lucida Calligraphy"/>
        </w:rPr>
      </w:pPr>
      <w:r>
        <w:rPr>
          <w:noProof/>
          <w:szCs w:val="18"/>
        </w:rPr>
        <w:drawing>
          <wp:anchor distT="0" distB="0" distL="114300" distR="114300" simplePos="0" relativeHeight="251660288" behindDoc="1" locked="0" layoutInCell="1" allowOverlap="1" wp14:anchorId="023D044C" wp14:editId="79DA7DE5">
            <wp:simplePos x="0" y="0"/>
            <wp:positionH relativeFrom="column">
              <wp:posOffset>5436870</wp:posOffset>
            </wp:positionH>
            <wp:positionV relativeFrom="paragraph">
              <wp:posOffset>180340</wp:posOffset>
            </wp:positionV>
            <wp:extent cx="574040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788" y="21246"/>
                <wp:lineTo x="20788" y="0"/>
                <wp:lineTo x="0" y="0"/>
              </wp:wrapPolygon>
            </wp:wrapTight>
            <wp:docPr id="1" name="Picture 1" descr="LOGO by 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y D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18"/>
        </w:rPr>
        <w:drawing>
          <wp:anchor distT="0" distB="0" distL="114300" distR="114300" simplePos="0" relativeHeight="251659264" behindDoc="0" locked="0" layoutInCell="1" allowOverlap="1" wp14:anchorId="192A7AE1" wp14:editId="0DB8B679">
            <wp:simplePos x="0" y="0"/>
            <wp:positionH relativeFrom="column">
              <wp:posOffset>-40005</wp:posOffset>
            </wp:positionH>
            <wp:positionV relativeFrom="paragraph">
              <wp:posOffset>160655</wp:posOffset>
            </wp:positionV>
            <wp:extent cx="593090" cy="678180"/>
            <wp:effectExtent l="0" t="0" r="0" b="7620"/>
            <wp:wrapSquare wrapText="bothSides"/>
            <wp:docPr id="2" name="Picture 2" descr="E:\hamid's\khyber pakhtunkh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mid's\khyber pakhtunkhw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0DE">
        <w:rPr>
          <w:rFonts w:ascii="Lucida Calligraphy" w:hAnsi="Lucida Calligraphy"/>
        </w:rPr>
        <w:t xml:space="preserve"> </w:t>
      </w:r>
    </w:p>
    <w:p w:rsidR="00110787" w:rsidRPr="009F149F" w:rsidRDefault="00110787" w:rsidP="00110787">
      <w:pPr>
        <w:contextualSpacing/>
        <w:jc w:val="center"/>
        <w:rPr>
          <w:rFonts w:ascii="Book Antiqua" w:hAnsi="Book Antiqua" w:cs="Aharoni"/>
          <w:sz w:val="26"/>
        </w:rPr>
      </w:pPr>
      <w:r w:rsidRPr="009F149F">
        <w:rPr>
          <w:rFonts w:ascii="Book Antiqua" w:hAnsi="Book Antiqua" w:cs="Aharoni"/>
          <w:sz w:val="26"/>
        </w:rPr>
        <w:t>DIRECTORATE OF</w:t>
      </w:r>
    </w:p>
    <w:p w:rsidR="00110787" w:rsidRDefault="00110787" w:rsidP="00110787">
      <w:pPr>
        <w:contextualSpacing/>
        <w:jc w:val="center"/>
        <w:rPr>
          <w:rFonts w:ascii="Book Antiqua" w:hAnsi="Book Antiqua" w:cs="Aharoni"/>
          <w:b/>
          <w:sz w:val="30"/>
        </w:rPr>
      </w:pPr>
      <w:r w:rsidRPr="00A65579">
        <w:rPr>
          <w:rFonts w:ascii="Book Antiqua" w:hAnsi="Book Antiqua"/>
          <w:b/>
          <w:sz w:val="30"/>
        </w:rPr>
        <w:t>EMERGENCY RESCUE SERVICE</w:t>
      </w:r>
      <w:r w:rsidRPr="00A65579">
        <w:rPr>
          <w:rFonts w:ascii="Book Antiqua" w:hAnsi="Book Antiqua" w:cs="Aharoni"/>
          <w:b/>
          <w:sz w:val="30"/>
        </w:rPr>
        <w:t xml:space="preserve"> (RESCUE - 1122),</w:t>
      </w:r>
    </w:p>
    <w:p w:rsidR="00104886" w:rsidRDefault="00110787" w:rsidP="00110787">
      <w:pPr>
        <w:jc w:val="center"/>
        <w:rPr>
          <w:rFonts w:ascii="Book Antiqua" w:hAnsi="Book Antiqua" w:cs="Aharoni"/>
        </w:rPr>
      </w:pPr>
      <w:r w:rsidRPr="004C7045">
        <w:rPr>
          <w:rFonts w:ascii="Book Antiqua" w:hAnsi="Book Antiqua" w:cs="Aharoni"/>
        </w:rPr>
        <w:t>GOVERNMENT OF KHYBER PAKHTUNKHWA</w:t>
      </w:r>
    </w:p>
    <w:p w:rsidR="00110787" w:rsidRDefault="00110787" w:rsidP="00110787">
      <w:pPr>
        <w:jc w:val="center"/>
        <w:rPr>
          <w:rFonts w:ascii="Book Antiqua" w:hAnsi="Book Antiqua" w:cs="Aharoni"/>
        </w:rPr>
      </w:pPr>
    </w:p>
    <w:p w:rsidR="00110787" w:rsidRDefault="00110787" w:rsidP="00110787">
      <w:pPr>
        <w:ind w:left="-720"/>
        <w:contextualSpacing/>
        <w:jc w:val="center"/>
        <w:rPr>
          <w:b/>
          <w:bCs/>
          <w:sz w:val="32"/>
          <w:szCs w:val="28"/>
          <w:u w:val="single"/>
        </w:rPr>
      </w:pPr>
      <w:r w:rsidRPr="008E7479">
        <w:rPr>
          <w:b/>
          <w:bCs/>
          <w:sz w:val="32"/>
          <w:szCs w:val="28"/>
          <w:u w:val="single"/>
        </w:rPr>
        <w:t>TENDER NOTICE</w:t>
      </w:r>
    </w:p>
    <w:p w:rsidR="00110787" w:rsidRDefault="00110787" w:rsidP="00110787">
      <w:pPr>
        <w:ind w:left="-720"/>
        <w:contextualSpacing/>
        <w:jc w:val="center"/>
        <w:rPr>
          <w:b/>
          <w:bCs/>
          <w:sz w:val="32"/>
          <w:szCs w:val="28"/>
          <w:u w:val="single"/>
        </w:rPr>
      </w:pPr>
    </w:p>
    <w:p w:rsidR="00C51915" w:rsidRDefault="00C51915" w:rsidP="00CA6AE1">
      <w:pPr>
        <w:spacing w:line="276" w:lineRule="auto"/>
        <w:jc w:val="lowKashida"/>
        <w:rPr>
          <w:rFonts w:ascii="Book Antiqua" w:hAnsi="Book Antiqua"/>
        </w:rPr>
      </w:pPr>
      <w:r>
        <w:rPr>
          <w:rFonts w:ascii="Book Antiqua" w:hAnsi="Book Antiqua"/>
        </w:rPr>
        <w:t xml:space="preserve">The office of Director General Emergency Rescue Services (Rescue-1122) Khyber Pakhtunkhwa invite seal bids from highly reputed manufacture/authorized dealers having valid </w:t>
      </w:r>
      <w:r w:rsidR="00CA6AE1">
        <w:rPr>
          <w:rFonts w:ascii="Book Antiqua" w:hAnsi="Book Antiqua"/>
        </w:rPr>
        <w:t xml:space="preserve">NTN and </w:t>
      </w:r>
      <w:r>
        <w:rPr>
          <w:rFonts w:ascii="Book Antiqua" w:hAnsi="Book Antiqua"/>
        </w:rPr>
        <w:t xml:space="preserve">sales Tax number for procuring of specialized Vehicles for various district </w:t>
      </w:r>
      <w:r w:rsidR="00CA6AE1">
        <w:rPr>
          <w:rFonts w:ascii="Book Antiqua" w:hAnsi="Book Antiqua"/>
        </w:rPr>
        <w:t>under</w:t>
      </w:r>
      <w:r>
        <w:rPr>
          <w:rFonts w:ascii="Book Antiqua" w:hAnsi="Book Antiqua"/>
        </w:rPr>
        <w:t xml:space="preserve"> single stag</w:t>
      </w:r>
      <w:r w:rsidR="00210B50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 two envelops bidder process as per Khyber Pakhtunkhwa Procurement regulatory Authority (KPPRA) rule 6-(2B) of the KPPRA Rules 2014.</w:t>
      </w:r>
    </w:p>
    <w:p w:rsidR="00C51915" w:rsidRDefault="00C51915" w:rsidP="00CA6AE1">
      <w:pPr>
        <w:spacing w:line="276" w:lineRule="auto"/>
        <w:jc w:val="lowKashida"/>
        <w:rPr>
          <w:rFonts w:ascii="Book Antiqua" w:hAnsi="Book Antiqua"/>
        </w:rPr>
      </w:pPr>
      <w:r>
        <w:rPr>
          <w:rFonts w:ascii="Book Antiqua" w:hAnsi="Book Antiqua"/>
        </w:rPr>
        <w:t xml:space="preserve">The technical &amp; financial bid be </w:t>
      </w:r>
      <w:r w:rsidR="00CA6AE1">
        <w:rPr>
          <w:rFonts w:ascii="Book Antiqua" w:hAnsi="Book Antiqua"/>
        </w:rPr>
        <w:t>enclosed/sealed</w:t>
      </w:r>
      <w:r>
        <w:rPr>
          <w:rFonts w:ascii="Book Antiqua" w:hAnsi="Book Antiqua"/>
        </w:rPr>
        <w:t xml:space="preserve"> in separate envelops with clear write up of Technical bid and Financial Bid in bold eligible writing. Both technical and financial bids be enclosed in single envelop to</w:t>
      </w:r>
      <w:r w:rsidR="00210B50">
        <w:rPr>
          <w:rFonts w:ascii="Book Antiqua" w:hAnsi="Book Antiqua"/>
        </w:rPr>
        <w:t xml:space="preserve"> be</w:t>
      </w:r>
      <w:r>
        <w:rPr>
          <w:rFonts w:ascii="Book Antiqua" w:hAnsi="Book Antiqua"/>
        </w:rPr>
        <w:t xml:space="preserve"> delivered in the officer of Director General (Rescue-1122). </w:t>
      </w: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2296"/>
        <w:gridCol w:w="1253"/>
        <w:gridCol w:w="1762"/>
        <w:gridCol w:w="1924"/>
        <w:gridCol w:w="1580"/>
      </w:tblGrid>
      <w:tr w:rsidR="00110787" w:rsidRPr="002A266A" w:rsidTr="00277AC8">
        <w:trPr>
          <w:trHeight w:val="892"/>
          <w:jc w:val="center"/>
        </w:trPr>
        <w:tc>
          <w:tcPr>
            <w:tcW w:w="765" w:type="dxa"/>
            <w:vAlign w:val="center"/>
          </w:tcPr>
          <w:p w:rsidR="00110787" w:rsidRPr="002A266A" w:rsidRDefault="00110787" w:rsidP="009D5630">
            <w:pPr>
              <w:jc w:val="center"/>
              <w:rPr>
                <w:b/>
              </w:rPr>
            </w:pPr>
            <w:r w:rsidRPr="002A266A">
              <w:rPr>
                <w:b/>
              </w:rPr>
              <w:t>S.O</w:t>
            </w:r>
          </w:p>
        </w:tc>
        <w:tc>
          <w:tcPr>
            <w:tcW w:w="2296" w:type="dxa"/>
            <w:vAlign w:val="center"/>
          </w:tcPr>
          <w:p w:rsidR="00110787" w:rsidRPr="002A266A" w:rsidRDefault="00110787" w:rsidP="009D5630">
            <w:pPr>
              <w:jc w:val="center"/>
              <w:rPr>
                <w:b/>
              </w:rPr>
            </w:pPr>
            <w:r w:rsidRPr="002A266A">
              <w:rPr>
                <w:b/>
              </w:rPr>
              <w:t>Name Of Item</w:t>
            </w:r>
          </w:p>
        </w:tc>
        <w:tc>
          <w:tcPr>
            <w:tcW w:w="1253" w:type="dxa"/>
            <w:vAlign w:val="center"/>
          </w:tcPr>
          <w:p w:rsidR="00110787" w:rsidRPr="002A266A" w:rsidRDefault="00110787" w:rsidP="009D5630">
            <w:pPr>
              <w:jc w:val="center"/>
              <w:rPr>
                <w:b/>
              </w:rPr>
            </w:pPr>
            <w:r w:rsidRPr="002A266A">
              <w:rPr>
                <w:b/>
              </w:rPr>
              <w:t>E/Money</w:t>
            </w:r>
          </w:p>
        </w:tc>
        <w:tc>
          <w:tcPr>
            <w:tcW w:w="1762" w:type="dxa"/>
            <w:vAlign w:val="center"/>
          </w:tcPr>
          <w:p w:rsidR="00110787" w:rsidRPr="002A266A" w:rsidRDefault="00110787" w:rsidP="009D5630">
            <w:pPr>
              <w:jc w:val="center"/>
              <w:rPr>
                <w:b/>
              </w:rPr>
            </w:pPr>
            <w:r w:rsidRPr="00106D29">
              <w:rPr>
                <w:b/>
              </w:rPr>
              <w:t>Last date</w:t>
            </w:r>
            <w:r>
              <w:rPr>
                <w:b/>
              </w:rPr>
              <w:t xml:space="preserve"> for issuance</w:t>
            </w:r>
            <w:r w:rsidRPr="00106D29">
              <w:rPr>
                <w:b/>
              </w:rPr>
              <w:t xml:space="preserve"> of tender forms.</w:t>
            </w:r>
          </w:p>
        </w:tc>
        <w:tc>
          <w:tcPr>
            <w:tcW w:w="1924" w:type="dxa"/>
            <w:vAlign w:val="center"/>
          </w:tcPr>
          <w:p w:rsidR="00110787" w:rsidRPr="002A266A" w:rsidRDefault="00110787" w:rsidP="009D5630">
            <w:pPr>
              <w:jc w:val="center"/>
              <w:rPr>
                <w:b/>
              </w:rPr>
            </w:pPr>
            <w:r w:rsidRPr="002A266A">
              <w:rPr>
                <w:b/>
              </w:rPr>
              <w:t>Time /date of tend</w:t>
            </w:r>
            <w:bookmarkStart w:id="0" w:name="_GoBack"/>
            <w:bookmarkEnd w:id="0"/>
            <w:r w:rsidRPr="002A266A">
              <w:rPr>
                <w:b/>
              </w:rPr>
              <w:t>er receipt/opening</w:t>
            </w:r>
          </w:p>
        </w:tc>
        <w:tc>
          <w:tcPr>
            <w:tcW w:w="1580" w:type="dxa"/>
            <w:vAlign w:val="center"/>
          </w:tcPr>
          <w:p w:rsidR="00110787" w:rsidRPr="002A266A" w:rsidRDefault="00110787" w:rsidP="009D5630">
            <w:pPr>
              <w:jc w:val="center"/>
              <w:rPr>
                <w:b/>
              </w:rPr>
            </w:pPr>
            <w:r w:rsidRPr="002A266A">
              <w:rPr>
                <w:b/>
              </w:rPr>
              <w:t>Time limit</w:t>
            </w:r>
          </w:p>
          <w:p w:rsidR="00110787" w:rsidRPr="002A266A" w:rsidRDefault="00110787" w:rsidP="009D5630">
            <w:pPr>
              <w:jc w:val="center"/>
              <w:rPr>
                <w:b/>
              </w:rPr>
            </w:pPr>
            <w:r w:rsidRPr="002A266A">
              <w:rPr>
                <w:b/>
              </w:rPr>
              <w:t>For supply</w:t>
            </w:r>
          </w:p>
        </w:tc>
      </w:tr>
      <w:tr w:rsidR="002A2AD5" w:rsidRPr="00096BD5" w:rsidTr="00063824">
        <w:trPr>
          <w:trHeight w:val="1609"/>
          <w:jc w:val="center"/>
        </w:trPr>
        <w:tc>
          <w:tcPr>
            <w:tcW w:w="765" w:type="dxa"/>
            <w:shd w:val="clear" w:color="auto" w:fill="FFFFFF" w:themeFill="background1"/>
            <w:vAlign w:val="center"/>
          </w:tcPr>
          <w:p w:rsidR="002A2AD5" w:rsidRPr="002A266A" w:rsidRDefault="002A2AD5" w:rsidP="002A2AD5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2A2AD5" w:rsidRPr="00354D2D" w:rsidRDefault="002A2AD5" w:rsidP="002A2AD5">
            <w:r w:rsidRPr="002A266A">
              <w:t>Emergency ambulanc</w:t>
            </w:r>
            <w:r>
              <w:t>es with fabrication &amp; equipment</w:t>
            </w:r>
            <w:r w:rsidRPr="002A266A">
              <w:t>.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2A2AD5" w:rsidRPr="00096BD5" w:rsidRDefault="002A2AD5" w:rsidP="002A2AD5">
            <w:pPr>
              <w:jc w:val="center"/>
            </w:pPr>
            <w:r w:rsidRPr="002A266A">
              <w:t>2%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AD5" w:rsidRDefault="00504F14" w:rsidP="002A2AD5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2A2AD5">
              <w:rPr>
                <w:sz w:val="22"/>
                <w:szCs w:val="22"/>
              </w:rPr>
              <w:t>/10/2018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2AD5" w:rsidRDefault="00504F14" w:rsidP="002A2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A2AD5">
              <w:rPr>
                <w:sz w:val="22"/>
                <w:szCs w:val="22"/>
              </w:rPr>
              <w:t>/10/2018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2A2AD5" w:rsidRDefault="002A2AD5" w:rsidP="002A2AD5">
            <w:pPr>
              <w:jc w:val="center"/>
            </w:pPr>
            <w:r>
              <w:t xml:space="preserve">As Per </w:t>
            </w:r>
          </w:p>
          <w:p w:rsidR="002A2AD5" w:rsidRPr="00096BD5" w:rsidRDefault="002A2AD5" w:rsidP="002A2AD5">
            <w:pPr>
              <w:jc w:val="center"/>
            </w:pPr>
            <w:r>
              <w:t>Work Order</w:t>
            </w:r>
          </w:p>
        </w:tc>
      </w:tr>
      <w:tr w:rsidR="00E15251" w:rsidTr="00277AC8">
        <w:trPr>
          <w:trHeight w:val="1765"/>
          <w:jc w:val="center"/>
        </w:trPr>
        <w:tc>
          <w:tcPr>
            <w:tcW w:w="765" w:type="dxa"/>
            <w:shd w:val="clear" w:color="auto" w:fill="FFFFFF" w:themeFill="background1"/>
            <w:vAlign w:val="center"/>
          </w:tcPr>
          <w:p w:rsidR="00E15251" w:rsidRDefault="00E15251" w:rsidP="0011078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E15251" w:rsidRPr="002A266A" w:rsidRDefault="00E15251" w:rsidP="009D5630">
            <w:r>
              <w:t xml:space="preserve">Fire </w:t>
            </w:r>
            <w:r w:rsidRPr="002A266A">
              <w:t>truck conventional of suitable chassis</w:t>
            </w:r>
            <w:r>
              <w:t xml:space="preserve"> </w:t>
            </w:r>
            <w:r w:rsidRPr="002A266A">
              <w:t>(Fabrication with equipment)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E15251" w:rsidRPr="002A266A" w:rsidRDefault="00E15251" w:rsidP="009D5630">
            <w:pPr>
              <w:jc w:val="center"/>
            </w:pPr>
            <w:r>
              <w:t>2%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E15251" w:rsidRDefault="00E15251" w:rsidP="00E15251">
            <w:pPr>
              <w:jc w:val="center"/>
            </w:pPr>
            <w:r>
              <w:t>-DO-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:rsidR="00E15251" w:rsidRDefault="00E15251" w:rsidP="00E15251">
            <w:pPr>
              <w:jc w:val="center"/>
            </w:pPr>
            <w:r w:rsidRPr="00C63D05">
              <w:t>-DO-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E15251" w:rsidRDefault="00E15251" w:rsidP="00E15251">
            <w:pPr>
              <w:jc w:val="center"/>
            </w:pPr>
            <w:r w:rsidRPr="00C63D05">
              <w:t>-DO-</w:t>
            </w:r>
          </w:p>
        </w:tc>
      </w:tr>
      <w:tr w:rsidR="00E15251" w:rsidTr="00277AC8">
        <w:trPr>
          <w:trHeight w:val="1149"/>
          <w:jc w:val="center"/>
        </w:trPr>
        <w:tc>
          <w:tcPr>
            <w:tcW w:w="765" w:type="dxa"/>
            <w:shd w:val="clear" w:color="auto" w:fill="FFFFFF" w:themeFill="background1"/>
            <w:vAlign w:val="center"/>
          </w:tcPr>
          <w:p w:rsidR="00E15251" w:rsidRDefault="00E15251" w:rsidP="00110787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E15251" w:rsidRDefault="00E15251" w:rsidP="009D5630">
            <w:r w:rsidRPr="002A266A">
              <w:t>Rescue Vehicles (Fabrication with equipment)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E15251" w:rsidRDefault="00E15251" w:rsidP="009D5630">
            <w:pPr>
              <w:jc w:val="center"/>
            </w:pPr>
            <w:r>
              <w:t>2%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E15251" w:rsidRDefault="00E15251" w:rsidP="00E15251">
            <w:pPr>
              <w:jc w:val="center"/>
            </w:pPr>
            <w:r w:rsidRPr="00E91241">
              <w:t>-DO-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:rsidR="00E15251" w:rsidRDefault="00E15251" w:rsidP="00E15251">
            <w:pPr>
              <w:jc w:val="center"/>
            </w:pPr>
            <w:r w:rsidRPr="00C63D05">
              <w:t>-DO-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E15251" w:rsidRDefault="00E15251" w:rsidP="00E15251">
            <w:pPr>
              <w:jc w:val="center"/>
            </w:pPr>
            <w:r w:rsidRPr="00C63D05">
              <w:t>-DO-</w:t>
            </w:r>
          </w:p>
        </w:tc>
      </w:tr>
      <w:tr w:rsidR="0066769B" w:rsidTr="00277AC8">
        <w:trPr>
          <w:trHeight w:val="1149"/>
          <w:jc w:val="center"/>
        </w:trPr>
        <w:tc>
          <w:tcPr>
            <w:tcW w:w="765" w:type="dxa"/>
            <w:shd w:val="clear" w:color="auto" w:fill="FFFFFF" w:themeFill="background1"/>
            <w:vAlign w:val="center"/>
          </w:tcPr>
          <w:p w:rsidR="0066769B" w:rsidRDefault="0066769B" w:rsidP="0066769B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296" w:type="dxa"/>
            <w:shd w:val="clear" w:color="auto" w:fill="FFFFFF" w:themeFill="background1"/>
            <w:vAlign w:val="center"/>
          </w:tcPr>
          <w:p w:rsidR="0066769B" w:rsidRDefault="0066769B" w:rsidP="0066769B">
            <w:pPr>
              <w:rPr>
                <w:rFonts w:ascii="Book Antiqua" w:hAnsi="Book Antiqua" w:cs="Calibri"/>
                <w:color w:val="000000"/>
              </w:rPr>
            </w:pPr>
            <w:r>
              <w:rPr>
                <w:rFonts w:ascii="Book Antiqua" w:hAnsi="Book Antiqua" w:cs="Calibri"/>
                <w:color w:val="000000"/>
              </w:rPr>
              <w:t>Re-fabrication of ambulances internal structure and provision of ambulatory items complete in all respect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:rsidR="0066769B" w:rsidRPr="00915C8F" w:rsidRDefault="0066769B" w:rsidP="0066769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15C8F">
              <w:rPr>
                <w:sz w:val="22"/>
                <w:szCs w:val="22"/>
              </w:rPr>
              <w:t>2 %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:rsidR="0066769B" w:rsidRDefault="0066769B" w:rsidP="0066769B">
            <w:pPr>
              <w:jc w:val="center"/>
            </w:pPr>
            <w:r w:rsidRPr="00E91241">
              <w:t>-DO-</w:t>
            </w: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:rsidR="0066769B" w:rsidRDefault="0066769B" w:rsidP="0066769B">
            <w:pPr>
              <w:jc w:val="center"/>
            </w:pPr>
            <w:r w:rsidRPr="00C63D05">
              <w:t>-DO-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6769B" w:rsidRDefault="0066769B" w:rsidP="0066769B">
            <w:pPr>
              <w:jc w:val="center"/>
            </w:pPr>
            <w:r w:rsidRPr="00C63D05">
              <w:t>-DO-</w:t>
            </w:r>
          </w:p>
        </w:tc>
      </w:tr>
    </w:tbl>
    <w:p w:rsidR="008379A5" w:rsidRDefault="008379A5" w:rsidP="008379A5">
      <w:pPr>
        <w:spacing w:line="360" w:lineRule="auto"/>
        <w:jc w:val="lowKashida"/>
        <w:rPr>
          <w:sz w:val="22"/>
          <w:szCs w:val="22"/>
        </w:rPr>
      </w:pPr>
    </w:p>
    <w:p w:rsidR="00110787" w:rsidRDefault="008379A5" w:rsidP="008379A5">
      <w:pPr>
        <w:spacing w:line="360" w:lineRule="auto"/>
        <w:jc w:val="lowKashida"/>
      </w:pPr>
      <w:r w:rsidRPr="008379A5">
        <w:t>The following terms &amp; conditions and procedure for submission of tender:</w:t>
      </w:r>
      <w:r w:rsidRPr="008379A5">
        <w:rPr>
          <w:sz w:val="22"/>
          <w:szCs w:val="22"/>
        </w:rPr>
        <w:t xml:space="preserve">  </w:t>
      </w:r>
      <w:r w:rsidR="00110787">
        <w:tab/>
      </w:r>
    </w:p>
    <w:p w:rsidR="005C3639" w:rsidRDefault="00110787" w:rsidP="00CA6AE1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>
        <w:t xml:space="preserve">The </w:t>
      </w:r>
      <w:r w:rsidR="00763F3A">
        <w:t>detailed BOQ’s</w:t>
      </w:r>
      <w:r w:rsidR="00CA6AE1">
        <w:t xml:space="preserve"> with quantities</w:t>
      </w:r>
      <w:r w:rsidR="002605D3">
        <w:t xml:space="preserve"> </w:t>
      </w:r>
      <w:r w:rsidR="000F415B">
        <w:t xml:space="preserve">will be </w:t>
      </w:r>
      <w:r w:rsidR="00CA6AE1">
        <w:t>provided</w:t>
      </w:r>
      <w:r w:rsidR="000F415B">
        <w:t xml:space="preserve"> with tender forms</w:t>
      </w:r>
      <w:r w:rsidR="00CA6AE1">
        <w:t xml:space="preserve"> to the applicants</w:t>
      </w:r>
      <w:r w:rsidR="000F415B">
        <w:t xml:space="preserve">. </w:t>
      </w:r>
    </w:p>
    <w:p w:rsidR="005C3639" w:rsidRDefault="00110787" w:rsidP="008379A5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 w:rsidRPr="002A266A">
        <w:t>The</w:t>
      </w:r>
      <w:r w:rsidR="00393F65">
        <w:t xml:space="preserve"> </w:t>
      </w:r>
      <w:r w:rsidRPr="002A266A">
        <w:t>entire tender</w:t>
      </w:r>
      <w:r w:rsidR="00CA6AE1">
        <w:t>s</w:t>
      </w:r>
      <w:r w:rsidRPr="002A266A">
        <w:t xml:space="preserve"> will be opened in the office of </w:t>
      </w:r>
      <w:r>
        <w:t xml:space="preserve">Director General, near Press Club opposite </w:t>
      </w:r>
      <w:proofErr w:type="spellStart"/>
      <w:r>
        <w:t>Cantt</w:t>
      </w:r>
      <w:proofErr w:type="spellEnd"/>
      <w:r w:rsidR="008379A5">
        <w:t>:</w:t>
      </w:r>
      <w:r>
        <w:t xml:space="preserve"> Railway Station </w:t>
      </w:r>
      <w:r w:rsidRPr="002A266A">
        <w:t xml:space="preserve">Peshawar on the dates and time as mentioned against each. </w:t>
      </w:r>
    </w:p>
    <w:p w:rsidR="005C3639" w:rsidRDefault="00110787" w:rsidP="008379A5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 w:rsidRPr="002A266A">
        <w:t xml:space="preserve">Tender documents (Tender forms/BOQ) </w:t>
      </w:r>
      <w:r w:rsidR="000F415B">
        <w:t xml:space="preserve">along with technical and financial bid criteria matrix </w:t>
      </w:r>
      <w:r w:rsidRPr="002A266A">
        <w:t>will be issued in the office of Procurement Of</w:t>
      </w:r>
      <w:r>
        <w:t>ficer Rescue 1122 Headquarters</w:t>
      </w:r>
      <w:r w:rsidRPr="002A266A">
        <w:t xml:space="preserve"> 2% earnest money (where applicable) must accompany with the tender form in the shape of </w:t>
      </w:r>
      <w:r w:rsidRPr="002A266A">
        <w:lastRenderedPageBreak/>
        <w:t xml:space="preserve">"Deposit at call" in the name of Director General Emergency Rescue Services (Rescue 1122) Peshawar on total amount of the bid neither on one item. </w:t>
      </w:r>
    </w:p>
    <w:p w:rsidR="008379A5" w:rsidRDefault="008379A5" w:rsidP="008379A5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>
        <w:t>Only technical bids will be opened on date of tender opening in the presence of interested bidders, while financial bids of technically qualified b</w:t>
      </w:r>
      <w:r w:rsidR="00FF391C">
        <w:t>idders will be opened on a date</w:t>
      </w:r>
      <w:r>
        <w:t xml:space="preserve"> to be intimated later</w:t>
      </w:r>
      <w:r w:rsidR="00FF391C">
        <w:t xml:space="preserve"> to qualifying firms.</w:t>
      </w:r>
    </w:p>
    <w:p w:rsidR="005C3639" w:rsidRDefault="00110787" w:rsidP="008379A5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 w:rsidRPr="002A266A">
        <w:t xml:space="preserve">Earnest money in the form of bank guarantee/cross </w:t>
      </w:r>
      <w:proofErr w:type="spellStart"/>
      <w:r w:rsidRPr="002A266A">
        <w:t>che</w:t>
      </w:r>
      <w:r w:rsidR="005C3639">
        <w:t>ques</w:t>
      </w:r>
      <w:proofErr w:type="spellEnd"/>
      <w:r w:rsidR="005C3639">
        <w:t xml:space="preserve"> etc. will not be accepted.</w:t>
      </w:r>
    </w:p>
    <w:p w:rsidR="005C3639" w:rsidRDefault="00010416" w:rsidP="00210B50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>
        <w:rPr>
          <w:rFonts w:ascii="Book Antiqua" w:hAnsi="Book Antiqua"/>
        </w:rPr>
        <w:t>The procuring e</w:t>
      </w:r>
      <w:r w:rsidRPr="00F50351">
        <w:rPr>
          <w:rFonts w:ascii="Book Antiqua" w:hAnsi="Book Antiqua"/>
        </w:rPr>
        <w:t>ntity may reject</w:t>
      </w:r>
      <w:r w:rsidR="008379A5">
        <w:rPr>
          <w:rFonts w:ascii="Book Antiqua" w:hAnsi="Book Antiqua"/>
        </w:rPr>
        <w:t xml:space="preserve"> </w:t>
      </w:r>
      <w:r w:rsidRPr="00F50351">
        <w:rPr>
          <w:rFonts w:ascii="Book Antiqua" w:hAnsi="Book Antiqua"/>
        </w:rPr>
        <w:t>all bids or pro</w:t>
      </w:r>
      <w:r>
        <w:rPr>
          <w:rFonts w:ascii="Book Antiqua" w:hAnsi="Book Antiqua"/>
        </w:rPr>
        <w:t>p</w:t>
      </w:r>
      <w:r w:rsidRPr="00F50351">
        <w:rPr>
          <w:rFonts w:ascii="Book Antiqua" w:hAnsi="Book Antiqua"/>
        </w:rPr>
        <w:t xml:space="preserve">osals at any time prior to the </w:t>
      </w:r>
      <w:r>
        <w:rPr>
          <w:rFonts w:ascii="Book Antiqua" w:hAnsi="Book Antiqua"/>
        </w:rPr>
        <w:t>accep</w:t>
      </w:r>
      <w:r w:rsidRPr="00F50351">
        <w:rPr>
          <w:rFonts w:ascii="Book Antiqua" w:hAnsi="Book Antiqua"/>
        </w:rPr>
        <w:t>tance</w:t>
      </w:r>
      <w:r>
        <w:rPr>
          <w:rFonts w:ascii="Book Antiqua" w:hAnsi="Book Antiqua"/>
        </w:rPr>
        <w:t xml:space="preserve"> of a bid or proposal.</w:t>
      </w:r>
      <w:r w:rsidRPr="00F50351">
        <w:rPr>
          <w:rFonts w:ascii="Book Antiqua" w:hAnsi="Book Antiqua"/>
        </w:rPr>
        <w:t xml:space="preserve"> </w:t>
      </w:r>
    </w:p>
    <w:p w:rsidR="005C3639" w:rsidRDefault="00110787" w:rsidP="008379A5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 w:rsidRPr="002A266A">
        <w:t xml:space="preserve">All Federal &amp; </w:t>
      </w:r>
      <w:r w:rsidR="00FF391C" w:rsidRPr="002A266A">
        <w:t xml:space="preserve">Provincial </w:t>
      </w:r>
      <w:r w:rsidRPr="002A266A">
        <w:t>duties/taxes including sales tax will be recoverable as per existing directives of the Gover</w:t>
      </w:r>
      <w:r w:rsidR="005C3639">
        <w:t>nment issued from time to time.</w:t>
      </w:r>
    </w:p>
    <w:p w:rsidR="005C3639" w:rsidRDefault="00CA6AE1" w:rsidP="00CA6AE1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>
        <w:t>The tender documents which are incomplete, corrected, over written will not be accepted and liable for rejection</w:t>
      </w:r>
    </w:p>
    <w:p w:rsidR="005C3639" w:rsidRDefault="00BA0C16" w:rsidP="008379A5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>
        <w:t>Authority letter of chassis assembler/ manufacture for timely provis</w:t>
      </w:r>
      <w:r w:rsidR="005C3639">
        <w:t>ion of the chassis is required.</w:t>
      </w:r>
    </w:p>
    <w:p w:rsidR="00110787" w:rsidRDefault="00110787" w:rsidP="008379A5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 w:rsidRPr="002A266A">
        <w:t>All the participating firms should provide the proof of NTN, GST number</w:t>
      </w:r>
      <w:r>
        <w:t>s</w:t>
      </w:r>
      <w:r w:rsidRPr="002A266A">
        <w:t xml:space="preserve">, registration of company as manufacturer under companies' ordinance for issuance of Tender Forms &amp; BOQ. </w:t>
      </w:r>
    </w:p>
    <w:p w:rsidR="008379A5" w:rsidRDefault="002605D3" w:rsidP="00210B50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>
        <w:t>Affidavit regarding the non-blacklisting of the firm in any part of Pakistan</w:t>
      </w:r>
      <w:r w:rsidR="008379A5">
        <w:t>.</w:t>
      </w:r>
    </w:p>
    <w:p w:rsidR="002605D3" w:rsidRDefault="002605D3" w:rsidP="008379A5">
      <w:pPr>
        <w:pStyle w:val="ListParagraph"/>
        <w:numPr>
          <w:ilvl w:val="0"/>
          <w:numId w:val="3"/>
        </w:numPr>
        <w:spacing w:line="360" w:lineRule="auto"/>
        <w:ind w:left="630" w:hanging="450"/>
        <w:jc w:val="lowKashida"/>
      </w:pPr>
      <w:r>
        <w:t>Affidavit regarding 3S Facility verifiable in Peshawar (Khyber Pakthunkhwa).</w:t>
      </w:r>
    </w:p>
    <w:p w:rsidR="00110787" w:rsidRDefault="00110787" w:rsidP="00110787">
      <w:pPr>
        <w:spacing w:line="276" w:lineRule="auto"/>
        <w:ind w:left="-810" w:firstLine="810"/>
        <w:jc w:val="lowKashida"/>
      </w:pPr>
    </w:p>
    <w:p w:rsidR="00110787" w:rsidRDefault="00110787" w:rsidP="00110787">
      <w:pPr>
        <w:spacing w:line="360" w:lineRule="auto"/>
        <w:ind w:left="-810" w:firstLine="810"/>
        <w:jc w:val="lowKashida"/>
      </w:pPr>
    </w:p>
    <w:p w:rsidR="00110787" w:rsidRDefault="00110787" w:rsidP="00110787">
      <w:pPr>
        <w:spacing w:line="360" w:lineRule="auto"/>
        <w:ind w:left="-810" w:firstLine="810"/>
        <w:jc w:val="lowKashida"/>
      </w:pPr>
    </w:p>
    <w:p w:rsidR="00110787" w:rsidRPr="008E63D9" w:rsidRDefault="00FF391C" w:rsidP="00FF391C">
      <w:pPr>
        <w:ind w:left="5040"/>
        <w:jc w:val="center"/>
        <w:rPr>
          <w:b/>
        </w:rPr>
      </w:pPr>
      <w:r w:rsidRPr="008E63D9">
        <w:rPr>
          <w:b/>
        </w:rPr>
        <w:t>(</w:t>
      </w:r>
      <w:r>
        <w:rPr>
          <w:b/>
        </w:rPr>
        <w:t>PROCUREMENT OFFICER</w:t>
      </w:r>
      <w:r w:rsidRPr="008E63D9">
        <w:rPr>
          <w:b/>
        </w:rPr>
        <w:t>)</w:t>
      </w:r>
    </w:p>
    <w:p w:rsidR="00110787" w:rsidRPr="008E63D9" w:rsidRDefault="00110787" w:rsidP="008E63D9">
      <w:pPr>
        <w:ind w:left="5040"/>
        <w:jc w:val="center"/>
        <w:rPr>
          <w:bCs/>
        </w:rPr>
      </w:pPr>
      <w:r w:rsidRPr="008E63D9">
        <w:rPr>
          <w:bCs/>
        </w:rPr>
        <w:t>Emergency Rescue Service (Rescue 1122)</w:t>
      </w:r>
    </w:p>
    <w:p w:rsidR="00110787" w:rsidRPr="008E63D9" w:rsidRDefault="00110787" w:rsidP="008E63D9">
      <w:pPr>
        <w:ind w:left="5040"/>
        <w:jc w:val="center"/>
      </w:pPr>
      <w:r w:rsidRPr="008E63D9">
        <w:rPr>
          <w:bCs/>
        </w:rPr>
        <w:t>Khyber Pakhtunkhwa Peshawar</w:t>
      </w:r>
    </w:p>
    <w:sectPr w:rsidR="00110787" w:rsidRPr="008E63D9" w:rsidSect="0066769B">
      <w:pgSz w:w="12240" w:h="18720" w:code="258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F7F27"/>
    <w:multiLevelType w:val="hybridMultilevel"/>
    <w:tmpl w:val="A148EB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890"/>
    <w:multiLevelType w:val="hybridMultilevel"/>
    <w:tmpl w:val="3F82DFE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AD02506"/>
    <w:multiLevelType w:val="hybridMultilevel"/>
    <w:tmpl w:val="79F65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87"/>
    <w:rsid w:val="00010416"/>
    <w:rsid w:val="00066566"/>
    <w:rsid w:val="00066B3B"/>
    <w:rsid w:val="000F415B"/>
    <w:rsid w:val="00104886"/>
    <w:rsid w:val="00110787"/>
    <w:rsid w:val="00210B50"/>
    <w:rsid w:val="00236503"/>
    <w:rsid w:val="002605D3"/>
    <w:rsid w:val="00277AC8"/>
    <w:rsid w:val="002A2AD5"/>
    <w:rsid w:val="003541F5"/>
    <w:rsid w:val="00393F65"/>
    <w:rsid w:val="00504F14"/>
    <w:rsid w:val="005C3639"/>
    <w:rsid w:val="00641AF7"/>
    <w:rsid w:val="0066769B"/>
    <w:rsid w:val="00685C6A"/>
    <w:rsid w:val="006F04AC"/>
    <w:rsid w:val="00761DED"/>
    <w:rsid w:val="00763F3A"/>
    <w:rsid w:val="007D00DE"/>
    <w:rsid w:val="008379A5"/>
    <w:rsid w:val="008E63D9"/>
    <w:rsid w:val="009B6A15"/>
    <w:rsid w:val="00B17BAC"/>
    <w:rsid w:val="00BA0C16"/>
    <w:rsid w:val="00BD6AD2"/>
    <w:rsid w:val="00C26398"/>
    <w:rsid w:val="00C3354C"/>
    <w:rsid w:val="00C51915"/>
    <w:rsid w:val="00C84AAB"/>
    <w:rsid w:val="00CA6AE1"/>
    <w:rsid w:val="00D402FF"/>
    <w:rsid w:val="00DF4EA6"/>
    <w:rsid w:val="00E15251"/>
    <w:rsid w:val="00E615AA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9F1EF8-A952-4B97-A16B-9411800D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07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 Secret</dc:creator>
  <cp:lastModifiedBy>Microsoft</cp:lastModifiedBy>
  <cp:revision>34</cp:revision>
  <cp:lastPrinted>2018-09-25T04:55:00Z</cp:lastPrinted>
  <dcterms:created xsi:type="dcterms:W3CDTF">2015-07-15T19:34:00Z</dcterms:created>
  <dcterms:modified xsi:type="dcterms:W3CDTF">2018-09-25T04:55:00Z</dcterms:modified>
</cp:coreProperties>
</file>